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161FD7BD" w:rsidR="00026DFE" w:rsidRPr="009E04AA" w:rsidRDefault="00C1116F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86399D" w:rsidRDefault="00D12B68" w:rsidP="001467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86399D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F1AF1" w14:textId="5F0CA85D" w:rsidR="00C1116F" w:rsidRPr="001356BB" w:rsidRDefault="00E6739A" w:rsidP="00C1116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Počty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respiračních infekcí</w:t>
      </w:r>
      <w:r w:rsidR="001467BB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e </w:t>
      </w:r>
      <w:r w:rsidR="00C1116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týdnu roku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klesly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oproti předchozímu týdnu o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15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9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% na hodnotu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285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86399D" w:rsidRPr="001356B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Pokles</w:t>
      </w:r>
      <w:r w:rsidR="006B0FB6" w:rsidRP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onemocnění eviduje</w:t>
      </w:r>
      <w:r w:rsidR="00CA40FE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</w:t>
      </w:r>
      <w:r w:rsidR="006B0FB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ve všech věkových skupinách</w:t>
      </w:r>
      <w:r w:rsidR="00C1116F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116F">
        <w:rPr>
          <w:rFonts w:ascii="Times New Roman" w:hAnsi="Times New Roman" w:cs="Times New Roman"/>
          <w:sz w:val="24"/>
          <w:szCs w:val="24"/>
        </w:rPr>
        <w:t>Dle současných epidemiologických dat lze konstatovat, že se epidemiologická situace zlepšuje (Graf č. 1).</w:t>
      </w:r>
    </w:p>
    <w:p w14:paraId="460CE5E1" w14:textId="77777777" w:rsidR="00C1116F" w:rsidRDefault="00C1116F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B95699" w14:textId="6BFA28C5" w:rsidR="00D22E30" w:rsidRPr="001356BB" w:rsidRDefault="00C1116F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N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ejvyšší nemocnost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je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i nadále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zaznamenávána u dětí předškolního věku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, nejnižší ve věkové skupině nad 65 let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22E30" w:rsidRPr="001356BB">
        <w:rPr>
          <w:rFonts w:ascii="Times New Roman" w:hAnsi="Times New Roman" w:cs="Times New Roman"/>
          <w:sz w:val="24"/>
          <w:szCs w:val="24"/>
        </w:rPr>
        <w:t>Nejvyšší nemocnost (ARI) byla</w:t>
      </w:r>
      <w:r>
        <w:rPr>
          <w:rFonts w:ascii="Times New Roman" w:hAnsi="Times New Roman" w:cs="Times New Roman"/>
          <w:sz w:val="24"/>
          <w:szCs w:val="24"/>
        </w:rPr>
        <w:t xml:space="preserve"> v uplynulém týdnu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 hlášena v okrese </w:t>
      </w:r>
      <w:r w:rsidR="00626599">
        <w:rPr>
          <w:rFonts w:ascii="Times New Roman" w:hAnsi="Times New Roman" w:cs="Times New Roman"/>
          <w:sz w:val="24"/>
          <w:szCs w:val="24"/>
        </w:rPr>
        <w:t>Prostějov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="004408E7" w:rsidRPr="001356BB">
        <w:rPr>
          <w:rFonts w:ascii="Times New Roman" w:hAnsi="Times New Roman" w:cs="Times New Roman"/>
          <w:sz w:val="24"/>
          <w:szCs w:val="24"/>
        </w:rPr>
        <w:t>(</w:t>
      </w:r>
      <w:r w:rsidR="00626599">
        <w:rPr>
          <w:rFonts w:ascii="Times New Roman" w:hAnsi="Times New Roman" w:cs="Times New Roman"/>
          <w:sz w:val="24"/>
          <w:szCs w:val="24"/>
        </w:rPr>
        <w:t>1 643)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86399D" w:rsidRPr="001356BB">
        <w:rPr>
          <w:rFonts w:ascii="Times New Roman" w:hAnsi="Times New Roman" w:cs="Times New Roman"/>
          <w:sz w:val="24"/>
          <w:szCs w:val="24"/>
        </w:rPr>
        <w:t>Šumperk (</w:t>
      </w:r>
      <w:r w:rsidR="00626599">
        <w:rPr>
          <w:rFonts w:ascii="Times New Roman" w:hAnsi="Times New Roman" w:cs="Times New Roman"/>
          <w:sz w:val="24"/>
          <w:szCs w:val="24"/>
        </w:rPr>
        <w:t>932</w:t>
      </w:r>
      <w:r w:rsidR="004408E7" w:rsidRPr="001356BB">
        <w:rPr>
          <w:rFonts w:ascii="Times New Roman" w:hAnsi="Times New Roman" w:cs="Times New Roman"/>
          <w:sz w:val="24"/>
          <w:szCs w:val="24"/>
        </w:rPr>
        <w:t>)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6A2CF968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2B3594">
        <w:rPr>
          <w:rFonts w:ascii="Times New Roman" w:hAnsi="Times New Roman" w:cs="Times New Roman"/>
          <w:sz w:val="24"/>
          <w:szCs w:val="24"/>
        </w:rPr>
        <w:t xml:space="preserve">také </w:t>
      </w:r>
      <w:r w:rsidR="00D9558E" w:rsidRPr="001356BB">
        <w:rPr>
          <w:rFonts w:ascii="Times New Roman" w:hAnsi="Times New Roman" w:cs="Times New Roman"/>
          <w:sz w:val="24"/>
          <w:szCs w:val="24"/>
        </w:rPr>
        <w:t>zaznamen</w:t>
      </w:r>
      <w:r w:rsidR="00CA40FE">
        <w:rPr>
          <w:rFonts w:ascii="Times New Roman" w:hAnsi="Times New Roman" w:cs="Times New Roman"/>
          <w:sz w:val="24"/>
          <w:szCs w:val="24"/>
        </w:rPr>
        <w:t xml:space="preserve">ali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pokles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u onemocnění s klinickým obrazem chřipky (ILI, </w:t>
      </w:r>
      <w:r w:rsidRPr="001356BB">
        <w:rPr>
          <w:rFonts w:ascii="Times New Roman" w:hAnsi="Times New Roman" w:cs="Times New Roman"/>
          <w:sz w:val="24"/>
          <w:szCs w:val="24"/>
        </w:rPr>
        <w:t>influenza–like illness)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, a to o </w:t>
      </w:r>
      <w:r w:rsidR="00626599">
        <w:rPr>
          <w:rFonts w:ascii="Times New Roman" w:hAnsi="Times New Roman" w:cs="Times New Roman"/>
          <w:sz w:val="24"/>
          <w:szCs w:val="24"/>
        </w:rPr>
        <w:t>26,5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 %</w:t>
      </w:r>
      <w:r w:rsidRPr="001356BB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626599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150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529A8BD8" w14:textId="04B1F169" w:rsidR="00837EBE" w:rsidRDefault="00837EBE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BC978F2" w14:textId="77777777" w:rsidR="00C1116F" w:rsidRDefault="00C1116F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Další informace jsou k dispozici na webových stránkách KHS</w:t>
      </w:r>
    </w:p>
    <w:p w14:paraId="398704A3" w14:textId="365112D6" w:rsidR="00C1116F" w:rsidRDefault="006A5E99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hyperlink r:id="rId5" w:history="1">
        <w:r w:rsidR="00D92C06" w:rsidRPr="005525F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https://www.khsolc.cz/akutni-respiracni-infekce</w:t>
        </w:r>
      </w:hyperlink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2D5EE8" w14:textId="25CB02ED" w:rsidR="00C1116F" w:rsidRDefault="00C1116F" w:rsidP="00C111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V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 období od </w:t>
      </w:r>
      <w:r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13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. 1. do </w:t>
      </w:r>
      <w:r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19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. 1. 2023 evidujeme </w:t>
      </w:r>
      <w:r w:rsidR="00331C9C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98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 případů onemocnění </w:t>
      </w:r>
      <w:r w:rsidR="00D92C0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Covid-19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 xml:space="preserve">31 % 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>méně než v předchozím týdnu (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142</w:t>
      </w:r>
      <w:r w:rsidRPr="00442DE6">
        <w:rPr>
          <w:rFonts w:ascii="Times New Roman" w:eastAsia="Times New Roman" w:hAnsi="Times New Roman" w:cs="Times New Roman"/>
          <w:sz w:val="24"/>
          <w:szCs w:val="24"/>
        </w:rPr>
        <w:t>). Nejvyšší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evidován v okrese Olomouc (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Prostějov (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sz w:val="24"/>
          <w:szCs w:val="24"/>
        </w:rPr>
        <w:t>, Přerov (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), Šumperk (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 xml:space="preserve"> a Jeseník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 xml:space="preserve">, přičemž nejvíce nemocných je mezi lidmi v produktivním věku </w:t>
      </w:r>
      <w:r w:rsidR="0008639E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35</w:t>
      </w:r>
      <w:r w:rsidR="0008639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331C9C">
        <w:rPr>
          <w:rFonts w:ascii="Times New Roman" w:eastAsia="Times New Roman" w:hAnsi="Times New Roman" w:cs="Times New Roman"/>
          <w:sz w:val="24"/>
          <w:szCs w:val="24"/>
        </w:rPr>
        <w:t>54 let.</w:t>
      </w:r>
    </w:p>
    <w:p w14:paraId="55A29957" w14:textId="77777777" w:rsidR="006E35AB" w:rsidRDefault="006E35AB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FB841" w14:textId="7751048F" w:rsidR="00FE1A10" w:rsidRPr="0086399D" w:rsidRDefault="00CA40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83537">
        <w:rPr>
          <w:rFonts w:ascii="Times New Roman" w:eastAsia="Times New Roman" w:hAnsi="Times New Roman" w:cs="Times New Roman"/>
          <w:sz w:val="24"/>
          <w:szCs w:val="24"/>
        </w:rPr>
        <w:t xml:space="preserve">adále </w:t>
      </w:r>
      <w:r w:rsidR="00DE39D9" w:rsidRPr="0086399D">
        <w:rPr>
          <w:rFonts w:ascii="Times New Roman" w:eastAsia="Times New Roman" w:hAnsi="Times New Roman" w:cs="Times New Roman"/>
          <w:sz w:val="24"/>
          <w:szCs w:val="24"/>
        </w:rPr>
        <w:t>apeluje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="00DE39D9" w:rsidRPr="0086399D">
        <w:rPr>
          <w:rFonts w:ascii="Times New Roman" w:eastAsia="Times New Roman" w:hAnsi="Times New Roman" w:cs="Times New Roman"/>
          <w:sz w:val="24"/>
          <w:szCs w:val="24"/>
        </w:rPr>
        <w:t xml:space="preserve"> na osobní odpovědnost </w:t>
      </w:r>
      <w:r w:rsidR="003548ED" w:rsidRPr="0086399D">
        <w:rPr>
          <w:rFonts w:ascii="Times New Roman" w:eastAsia="Times New Roman" w:hAnsi="Times New Roman" w:cs="Times New Roman"/>
          <w:sz w:val="24"/>
          <w:szCs w:val="24"/>
        </w:rPr>
        <w:t>občanů</w:t>
      </w:r>
      <w:r w:rsidR="00DE39D9" w:rsidRPr="0086399D">
        <w:rPr>
          <w:rFonts w:ascii="Times New Roman" w:eastAsia="Times New Roman" w:hAnsi="Times New Roman" w:cs="Times New Roman"/>
          <w:sz w:val="24"/>
          <w:szCs w:val="24"/>
        </w:rPr>
        <w:t xml:space="preserve"> při dodržování základních hygienických pravidel</w:t>
      </w:r>
      <w:r w:rsidR="008A4FAA" w:rsidRPr="008639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365" w:rsidRPr="008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A10" w:rsidRPr="0086399D">
        <w:rPr>
          <w:rFonts w:ascii="Times New Roman" w:eastAsia="Times New Roman" w:hAnsi="Times New Roman" w:cs="Times New Roman"/>
          <w:sz w:val="24"/>
          <w:szCs w:val="24"/>
        </w:rPr>
        <w:t xml:space="preserve">Každý, kdo se necítí dobře, by měl omezit své kontakty a zůstat doma, a tím zabránit případnému šíření nemoci. </w:t>
      </w:r>
    </w:p>
    <w:p w14:paraId="688A117F" w14:textId="7CA27D06" w:rsidR="00AB485C" w:rsidRDefault="00AB485C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A3480B" w14:textId="7DF0D184" w:rsidR="00FF1BEB" w:rsidRDefault="00FF1BEB" w:rsidP="001467BB">
      <w:pPr>
        <w:spacing w:after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837EB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Graf č. 1: 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Vývoj nemocnosti ARI</w:t>
      </w:r>
      <w:r w:rsidR="006A1C0F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/ILI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na 100 000 obyvatel, sezóna 2022/2023</w:t>
      </w:r>
    </w:p>
    <w:p w14:paraId="20381A0A" w14:textId="5AC7AABA" w:rsidR="00FF1BEB" w:rsidRDefault="00FF1BEB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ED84B4" wp14:editId="5665A02D">
            <wp:extent cx="5760720" cy="2377440"/>
            <wp:effectExtent l="0" t="0" r="11430" b="3810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E10ECEF9-8511-46B7-B41E-70360895F2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701F197" w14:textId="77777777" w:rsidR="006B0FB6" w:rsidRPr="0086399D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7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 w:rsidSect="0062659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4C7"/>
    <w:rsid w:val="00026DFE"/>
    <w:rsid w:val="000579F7"/>
    <w:rsid w:val="00063C14"/>
    <w:rsid w:val="00067C75"/>
    <w:rsid w:val="0008639E"/>
    <w:rsid w:val="00110992"/>
    <w:rsid w:val="001356BB"/>
    <w:rsid w:val="001467BB"/>
    <w:rsid w:val="0016226C"/>
    <w:rsid w:val="00166279"/>
    <w:rsid w:val="00197BBA"/>
    <w:rsid w:val="001A2009"/>
    <w:rsid w:val="001F5454"/>
    <w:rsid w:val="002053DF"/>
    <w:rsid w:val="002236BC"/>
    <w:rsid w:val="00242461"/>
    <w:rsid w:val="00242904"/>
    <w:rsid w:val="00255664"/>
    <w:rsid w:val="00263535"/>
    <w:rsid w:val="00284B23"/>
    <w:rsid w:val="002A5FB3"/>
    <w:rsid w:val="002A5FF9"/>
    <w:rsid w:val="002B30D7"/>
    <w:rsid w:val="002B3594"/>
    <w:rsid w:val="002C62A2"/>
    <w:rsid w:val="002D0EB7"/>
    <w:rsid w:val="002D1687"/>
    <w:rsid w:val="002E2B26"/>
    <w:rsid w:val="003163FB"/>
    <w:rsid w:val="003262EF"/>
    <w:rsid w:val="00331C9C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C21A8"/>
    <w:rsid w:val="004C32AF"/>
    <w:rsid w:val="004E5628"/>
    <w:rsid w:val="004E6133"/>
    <w:rsid w:val="004F5A83"/>
    <w:rsid w:val="005220D5"/>
    <w:rsid w:val="0055312C"/>
    <w:rsid w:val="00571492"/>
    <w:rsid w:val="00583537"/>
    <w:rsid w:val="00590365"/>
    <w:rsid w:val="00593D68"/>
    <w:rsid w:val="005B302A"/>
    <w:rsid w:val="005D74D0"/>
    <w:rsid w:val="005E6927"/>
    <w:rsid w:val="005F4F97"/>
    <w:rsid w:val="006011EA"/>
    <w:rsid w:val="00616B52"/>
    <w:rsid w:val="00626599"/>
    <w:rsid w:val="00635820"/>
    <w:rsid w:val="00691A8E"/>
    <w:rsid w:val="006A1C0F"/>
    <w:rsid w:val="006A2CE2"/>
    <w:rsid w:val="006A32C7"/>
    <w:rsid w:val="006A5E99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744A3"/>
    <w:rsid w:val="007C26C7"/>
    <w:rsid w:val="007C531D"/>
    <w:rsid w:val="007F4033"/>
    <w:rsid w:val="00813C3F"/>
    <w:rsid w:val="00837EBE"/>
    <w:rsid w:val="00847E1C"/>
    <w:rsid w:val="00852F6A"/>
    <w:rsid w:val="0086399D"/>
    <w:rsid w:val="00866C3D"/>
    <w:rsid w:val="00893191"/>
    <w:rsid w:val="008A47A4"/>
    <w:rsid w:val="008A4FAA"/>
    <w:rsid w:val="008A69A0"/>
    <w:rsid w:val="008C497B"/>
    <w:rsid w:val="008D1743"/>
    <w:rsid w:val="008D7C51"/>
    <w:rsid w:val="00942D95"/>
    <w:rsid w:val="00953EA0"/>
    <w:rsid w:val="0095686A"/>
    <w:rsid w:val="00960099"/>
    <w:rsid w:val="00980706"/>
    <w:rsid w:val="00983520"/>
    <w:rsid w:val="009A7601"/>
    <w:rsid w:val="009B5C91"/>
    <w:rsid w:val="009C5D94"/>
    <w:rsid w:val="009D39C3"/>
    <w:rsid w:val="009D4E34"/>
    <w:rsid w:val="009E04AA"/>
    <w:rsid w:val="00A1756F"/>
    <w:rsid w:val="00A7451E"/>
    <w:rsid w:val="00A83BB6"/>
    <w:rsid w:val="00AA0D15"/>
    <w:rsid w:val="00AA284F"/>
    <w:rsid w:val="00AB04E8"/>
    <w:rsid w:val="00AB1CC6"/>
    <w:rsid w:val="00AB485C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1116F"/>
    <w:rsid w:val="00C2612A"/>
    <w:rsid w:val="00C4537A"/>
    <w:rsid w:val="00C521FB"/>
    <w:rsid w:val="00C55C8A"/>
    <w:rsid w:val="00CA40FE"/>
    <w:rsid w:val="00CB695E"/>
    <w:rsid w:val="00D02A3A"/>
    <w:rsid w:val="00D12B68"/>
    <w:rsid w:val="00D22E30"/>
    <w:rsid w:val="00D3401D"/>
    <w:rsid w:val="00D432A9"/>
    <w:rsid w:val="00D554EB"/>
    <w:rsid w:val="00D61C45"/>
    <w:rsid w:val="00D638E4"/>
    <w:rsid w:val="00D67839"/>
    <w:rsid w:val="00D92C06"/>
    <w:rsid w:val="00D9558E"/>
    <w:rsid w:val="00D962C3"/>
    <w:rsid w:val="00DA6FD8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E582A"/>
    <w:rsid w:val="00F33DE4"/>
    <w:rsid w:val="00F36CB3"/>
    <w:rsid w:val="00F40C40"/>
    <w:rsid w:val="00F424E4"/>
    <w:rsid w:val="00F608AD"/>
    <w:rsid w:val="00F70F2A"/>
    <w:rsid w:val="00F80BD7"/>
    <w:rsid w:val="00FB6799"/>
    <w:rsid w:val="00FD2923"/>
    <w:rsid w:val="00FE1A10"/>
    <w:rsid w:val="00FE71C9"/>
    <w:rsid w:val="00FF1BEB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dia@khsol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s://www.khsolc.cz/akutni-respiracni-infekc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'ČR VS Olomoucký kraj'!$G$10:$AB$10</c:f>
              <c:strCache>
                <c:ptCount val="22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</c:strCache>
            </c:strRef>
          </c:cat>
          <c:val>
            <c:numRef>
              <c:f>'ČR VS Olomoucký kraj'!$G$11:$AB$11</c:f>
              <c:numCache>
                <c:formatCode>General</c:formatCode>
                <c:ptCount val="22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  <c:pt idx="19">
                  <c:v>1611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0A-4B07-ADBE-98BA31A06242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'ČR VS Olomoucký kraj'!$G$10:$AB$10</c:f>
              <c:strCache>
                <c:ptCount val="22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  <c:pt idx="20">
                  <c:v>3 KT</c:v>
                </c:pt>
                <c:pt idx="21">
                  <c:v>4 KT</c:v>
                </c:pt>
              </c:strCache>
            </c:strRef>
          </c:cat>
          <c:val>
            <c:numRef>
              <c:f>'ČR VS Olomoucký kraj'!$G$12:$AB$12</c:f>
              <c:numCache>
                <c:formatCode>General</c:formatCode>
                <c:ptCount val="22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  <c:pt idx="19">
                  <c:v>1527</c:v>
                </c:pt>
                <c:pt idx="20">
                  <c:v>1285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0A-4B07-ADBE-98BA31A062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959055"/>
        <c:axId val="1395955311"/>
      </c:barChart>
      <c:catAx>
        <c:axId val="1395959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955311"/>
        <c:crosses val="autoZero"/>
        <c:auto val="1"/>
        <c:lblAlgn val="ctr"/>
        <c:lblOffset val="100"/>
        <c:noMultiLvlLbl val="0"/>
      </c:catAx>
      <c:valAx>
        <c:axId val="13959553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959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10</cp:revision>
  <dcterms:created xsi:type="dcterms:W3CDTF">2023-01-18T08:12:00Z</dcterms:created>
  <dcterms:modified xsi:type="dcterms:W3CDTF">2023-01-20T12:34:00Z</dcterms:modified>
</cp:coreProperties>
</file>